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F7" w:rsidRPr="00C57E8A" w:rsidRDefault="00397BF7" w:rsidP="002B1B10">
      <w:pPr>
        <w:jc w:val="both"/>
        <w:rPr>
          <w:rFonts w:ascii="Times New Roman" w:hAnsi="Times New Roman" w:cs="Times New Roman"/>
          <w:b/>
          <w:lang w:val="it-IT"/>
        </w:rPr>
      </w:pPr>
    </w:p>
    <w:tbl>
      <w:tblPr>
        <w:tblStyle w:val="Grigliatabella"/>
        <w:tblW w:w="9833" w:type="dxa"/>
        <w:tblLook w:val="04A0"/>
      </w:tblPr>
      <w:tblGrid>
        <w:gridCol w:w="1668"/>
        <w:gridCol w:w="8165"/>
      </w:tblGrid>
      <w:tr w:rsidR="006A4266" w:rsidRPr="00C57E8A" w:rsidTr="00D775DF">
        <w:trPr>
          <w:trHeight w:val="277"/>
        </w:trPr>
        <w:tc>
          <w:tcPr>
            <w:tcW w:w="1668" w:type="dxa"/>
          </w:tcPr>
          <w:p w:rsidR="006A4266" w:rsidRPr="00C57E8A" w:rsidRDefault="006A4266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Instructor</w:t>
            </w:r>
            <w:proofErr w:type="spellEnd"/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8165" w:type="dxa"/>
          </w:tcPr>
          <w:p w:rsidR="006A4266" w:rsidRPr="00C57E8A" w:rsidRDefault="006A4266" w:rsidP="008D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Vignoli</w:t>
            </w:r>
          </w:p>
        </w:tc>
      </w:tr>
      <w:tr w:rsidR="006A4266" w:rsidRPr="00C57E8A" w:rsidTr="00D775DF">
        <w:trPr>
          <w:trHeight w:val="267"/>
        </w:trPr>
        <w:tc>
          <w:tcPr>
            <w:tcW w:w="1668" w:type="dxa"/>
          </w:tcPr>
          <w:p w:rsidR="006A4266" w:rsidRPr="00C57E8A" w:rsidRDefault="006A4266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Title </w:t>
            </w:r>
          </w:p>
        </w:tc>
        <w:tc>
          <w:tcPr>
            <w:tcW w:w="8165" w:type="dxa"/>
          </w:tcPr>
          <w:p w:rsidR="006A4266" w:rsidRPr="00C57E8A" w:rsidRDefault="006A4266" w:rsidP="006A4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Approaches and methods in family demography</w:t>
            </w:r>
          </w:p>
        </w:tc>
      </w:tr>
      <w:tr w:rsidR="006A4266" w:rsidRPr="00C57E8A" w:rsidTr="00D775DF">
        <w:trPr>
          <w:trHeight w:val="47"/>
        </w:trPr>
        <w:tc>
          <w:tcPr>
            <w:tcW w:w="1668" w:type="dxa"/>
          </w:tcPr>
          <w:p w:rsidR="006A4266" w:rsidRPr="00C57E8A" w:rsidRDefault="006A4266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Contents</w:t>
            </w:r>
            <w:proofErr w:type="spellEnd"/>
          </w:p>
        </w:tc>
        <w:tc>
          <w:tcPr>
            <w:tcW w:w="8165" w:type="dxa"/>
          </w:tcPr>
          <w:p w:rsidR="006A4266" w:rsidRDefault="00D775DF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775DF">
              <w:rPr>
                <w:rFonts w:ascii="Times New Roman" w:hAnsi="Times New Roman" w:cs="Times New Roman"/>
              </w:rPr>
              <w:t>B</w:t>
            </w:r>
            <w:r w:rsidR="006A4266" w:rsidRPr="00D775DF">
              <w:rPr>
                <w:rFonts w:ascii="Times New Roman" w:hAnsi="Times New Roman" w:cs="Times New Roman"/>
              </w:rPr>
              <w:t xml:space="preserve">asic </w:t>
            </w:r>
            <w:r w:rsidRPr="00D775DF">
              <w:rPr>
                <w:rFonts w:ascii="Times New Roman" w:hAnsi="Times New Roman" w:cs="Times New Roman"/>
              </w:rPr>
              <w:t xml:space="preserve">theoretical concepts for the understanding </w:t>
            </w:r>
            <w:r>
              <w:rPr>
                <w:rFonts w:ascii="Times New Roman" w:hAnsi="Times New Roman" w:cs="Times New Roman"/>
              </w:rPr>
              <w:t>of family complexities</w:t>
            </w:r>
          </w:p>
          <w:p w:rsidR="00D775DF" w:rsidRPr="00C57E8A" w:rsidRDefault="00D775DF" w:rsidP="00D775D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Micro-macro approaches in family demography</w:t>
            </w:r>
          </w:p>
          <w:p w:rsidR="00D775DF" w:rsidRPr="00D775DF" w:rsidRDefault="00D775DF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Demographic models and Event History Analysis</w:t>
            </w:r>
          </w:p>
          <w:p w:rsidR="006A4266" w:rsidRPr="00D775DF" w:rsidRDefault="00D775DF" w:rsidP="00D775DF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Parallel careers and </w:t>
            </w:r>
            <w:proofErr w:type="spellStart"/>
            <w:r>
              <w:rPr>
                <w:rFonts w:ascii="Times New Roman" w:hAnsi="Times New Roman" w:cs="Times New Roman"/>
              </w:rPr>
              <w:t>multiprocess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models</w:t>
            </w:r>
          </w:p>
        </w:tc>
      </w:tr>
      <w:tr w:rsidR="006A4266" w:rsidRPr="00C57E8A" w:rsidTr="00D775DF">
        <w:trPr>
          <w:trHeight w:val="3591"/>
        </w:trPr>
        <w:tc>
          <w:tcPr>
            <w:tcW w:w="1668" w:type="dxa"/>
          </w:tcPr>
          <w:p w:rsidR="006A4266" w:rsidRPr="00C57E8A" w:rsidRDefault="006A4266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Reading</w:t>
            </w:r>
            <w:proofErr w:type="spellEnd"/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list</w:t>
            </w:r>
            <w:proofErr w:type="spellEnd"/>
          </w:p>
        </w:tc>
        <w:tc>
          <w:tcPr>
            <w:tcW w:w="8165" w:type="dxa"/>
          </w:tcPr>
          <w:p w:rsidR="00D775DF" w:rsidRPr="00D775DF" w:rsidRDefault="00D775DF" w:rsidP="00D775DF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Aassve A., Burgess S.,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Propper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C., Dickson M. (2006). Employment, Family Union and Childbearing Decisions in Great Britain. Journal of the Royal Statistical Society. Series A (Statistics in Society) 169(4): 781-804.</w:t>
            </w:r>
          </w:p>
          <w:p w:rsidR="00D775DF" w:rsidRPr="00D775DF" w:rsidRDefault="00D775DF" w:rsidP="00D775DF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Mattei A., Gottard A., Vignoli D. (2011). The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and fertility in the presence of a time-varying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frailty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. WP – University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Florence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75DF" w:rsidRPr="00D775DF" w:rsidRDefault="00D775DF" w:rsidP="00D775DF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Lillard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L. A., Brien M. J., Waite L. J. (1995) Premarital Cohabitation and Subsequent Marital Dissolution: A Matter of Self-Selection? Demography 32(3): 437-457</w:t>
            </w:r>
          </w:p>
          <w:p w:rsidR="00D775DF" w:rsidRPr="00D775DF" w:rsidRDefault="00D775DF" w:rsidP="00D775DF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Kravdal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, Ø. (2001). The high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fertility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college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educated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women in Norway: An artifact of the separate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modelling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parity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transition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. Demographic Research 5: 185–216.</w:t>
            </w:r>
          </w:p>
          <w:p w:rsidR="00D775DF" w:rsidRPr="00D775DF" w:rsidRDefault="00D775DF" w:rsidP="00D775D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Kreyenfeld, M. (2002).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Time-squeeze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, partner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self-selection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? An investigation into the positive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women’s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>second</w:t>
            </w:r>
            <w:proofErr w:type="spellEnd"/>
            <w:r w:rsidRPr="00D775DF">
              <w:rPr>
                <w:rFonts w:ascii="Times New Roman" w:hAnsi="Times New Roman" w:cs="Times New Roman"/>
                <w:sz w:val="20"/>
                <w:szCs w:val="20"/>
              </w:rPr>
              <w:t xml:space="preserve"> birth risks in West Germany. Demographic Research 7: 15–48.</w:t>
            </w:r>
          </w:p>
        </w:tc>
      </w:tr>
      <w:tr w:rsidR="006A4266" w:rsidRPr="00C57E8A" w:rsidTr="00D775DF">
        <w:trPr>
          <w:trHeight w:val="554"/>
        </w:trPr>
        <w:tc>
          <w:tcPr>
            <w:tcW w:w="1668" w:type="dxa"/>
          </w:tcPr>
          <w:p w:rsidR="006A4266" w:rsidRPr="00C57E8A" w:rsidRDefault="006A4266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Month*</w:t>
            </w:r>
            <w:proofErr w:type="spellEnd"/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: </w:t>
            </w:r>
          </w:p>
        </w:tc>
        <w:tc>
          <w:tcPr>
            <w:tcW w:w="8165" w:type="dxa"/>
          </w:tcPr>
          <w:p w:rsidR="006A4266" w:rsidRPr="00C57E8A" w:rsidRDefault="006A4266" w:rsidP="008D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15 – October 4</w:t>
            </w:r>
          </w:p>
          <w:p w:rsidR="006A4266" w:rsidRPr="00C57E8A" w:rsidRDefault="006A4266" w:rsidP="008D0AD1">
            <w:pPr>
              <w:rPr>
                <w:rFonts w:ascii="Times New Roman" w:hAnsi="Times New Roman" w:cs="Times New Roman"/>
              </w:rPr>
            </w:pPr>
          </w:p>
        </w:tc>
      </w:tr>
      <w:tr w:rsidR="006A4266" w:rsidRPr="00C57E8A" w:rsidTr="00D775DF">
        <w:trPr>
          <w:trHeight w:val="554"/>
        </w:trPr>
        <w:tc>
          <w:tcPr>
            <w:tcW w:w="1668" w:type="dxa"/>
          </w:tcPr>
          <w:p w:rsidR="006A4266" w:rsidRPr="00C57E8A" w:rsidRDefault="006A4266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Numero di ore / CFU</w:t>
            </w:r>
            <w:bookmarkStart w:id="0" w:name="_GoBack"/>
            <w:bookmarkEnd w:id="0"/>
          </w:p>
        </w:tc>
        <w:tc>
          <w:tcPr>
            <w:tcW w:w="8165" w:type="dxa"/>
          </w:tcPr>
          <w:p w:rsidR="006A4266" w:rsidRPr="00D775DF" w:rsidRDefault="00D775DF" w:rsidP="008D0AD1">
            <w:pPr>
              <w:rPr>
                <w:rFonts w:ascii="Times New Roman" w:hAnsi="Times New Roman" w:cs="Times New Roman"/>
                <w:b/>
                <w:i/>
              </w:rPr>
            </w:pPr>
            <w:r w:rsidRPr="00D775DF">
              <w:rPr>
                <w:rFonts w:ascii="Times New Roman" w:hAnsi="Times New Roman" w:cs="Times New Roman"/>
                <w:b/>
                <w:i/>
                <w:highlight w:val="yellow"/>
              </w:rPr>
              <w:t>2 days (10-1</w:t>
            </w:r>
            <w:r>
              <w:rPr>
                <w:rFonts w:ascii="Times New Roman" w:hAnsi="Times New Roman" w:cs="Times New Roman"/>
                <w:b/>
                <w:i/>
                <w:highlight w:val="yellow"/>
              </w:rPr>
              <w:t>2</w:t>
            </w:r>
            <w:r w:rsidRPr="00D775DF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 hours)</w:t>
            </w:r>
          </w:p>
          <w:p w:rsidR="006A4266" w:rsidRPr="00C57E8A" w:rsidRDefault="006A4266" w:rsidP="008D0AD1">
            <w:pPr>
              <w:rPr>
                <w:rFonts w:ascii="Times New Roman" w:hAnsi="Times New Roman" w:cs="Times New Roman"/>
              </w:rPr>
            </w:pPr>
          </w:p>
        </w:tc>
      </w:tr>
    </w:tbl>
    <w:p w:rsidR="00397BF7" w:rsidRPr="00C57E8A" w:rsidRDefault="00D46789" w:rsidP="002B1B10">
      <w:pPr>
        <w:jc w:val="both"/>
        <w:rPr>
          <w:rFonts w:ascii="Times New Roman" w:hAnsi="Times New Roman" w:cs="Times New Roman"/>
          <w:lang w:val="it-IT"/>
        </w:rPr>
      </w:pPr>
      <w:r w:rsidRPr="00C57E8A">
        <w:rPr>
          <w:rFonts w:ascii="Times New Roman" w:hAnsi="Times New Roman" w:cs="Times New Roman"/>
          <w:lang w:val="it-IT"/>
        </w:rPr>
        <w:t>*Indicare</w:t>
      </w:r>
      <w:r w:rsidR="00A82753" w:rsidRPr="00C57E8A">
        <w:rPr>
          <w:rFonts w:ascii="Times New Roman" w:hAnsi="Times New Roman" w:cs="Times New Roman"/>
          <w:lang w:val="it-IT"/>
        </w:rPr>
        <w:t xml:space="preserve"> le</w:t>
      </w:r>
      <w:r w:rsidRPr="00C57E8A">
        <w:rPr>
          <w:rFonts w:ascii="Times New Roman" w:hAnsi="Times New Roman" w:cs="Times New Roman"/>
          <w:lang w:val="it-IT"/>
        </w:rPr>
        <w:t xml:space="preserve"> </w:t>
      </w:r>
      <w:r w:rsidR="00FF23CF" w:rsidRPr="00C57E8A">
        <w:rPr>
          <w:rFonts w:ascii="Times New Roman" w:hAnsi="Times New Roman" w:cs="Times New Roman"/>
          <w:lang w:val="it-IT"/>
        </w:rPr>
        <w:t xml:space="preserve">possibili settimane di </w:t>
      </w:r>
      <w:r w:rsidRPr="00C57E8A">
        <w:rPr>
          <w:rFonts w:ascii="Times New Roman" w:hAnsi="Times New Roman" w:cs="Times New Roman"/>
          <w:lang w:val="it-IT"/>
        </w:rPr>
        <w:t>insegnamento</w:t>
      </w:r>
      <w:r w:rsidR="00FF23CF" w:rsidRPr="00C57E8A">
        <w:rPr>
          <w:rFonts w:ascii="Times New Roman" w:hAnsi="Times New Roman" w:cs="Times New Roman"/>
          <w:lang w:val="it-IT"/>
        </w:rPr>
        <w:t xml:space="preserve"> </w:t>
      </w:r>
    </w:p>
    <w:p w:rsidR="00E2784E" w:rsidRPr="00C57E8A" w:rsidRDefault="00E2784E" w:rsidP="002B1B10">
      <w:pPr>
        <w:jc w:val="both"/>
        <w:rPr>
          <w:rFonts w:ascii="Times New Roman" w:hAnsi="Times New Roman" w:cs="Times New Roman"/>
          <w:lang w:val="it-IT"/>
        </w:rPr>
      </w:pPr>
    </w:p>
    <w:sectPr w:rsidR="00E2784E" w:rsidRPr="00C57E8A" w:rsidSect="00FA57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2D92"/>
    <w:multiLevelType w:val="hybridMultilevel"/>
    <w:tmpl w:val="CC2C4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A4CA2"/>
    <w:multiLevelType w:val="hybridMultilevel"/>
    <w:tmpl w:val="1AC0AAA8"/>
    <w:lvl w:ilvl="0" w:tplc="AE6E65D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319F7"/>
    <w:multiLevelType w:val="hybridMultilevel"/>
    <w:tmpl w:val="AB6490DC"/>
    <w:lvl w:ilvl="0" w:tplc="6B32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8A5408"/>
    <w:rsid w:val="00056F6B"/>
    <w:rsid w:val="00075BFE"/>
    <w:rsid w:val="000B5CD3"/>
    <w:rsid w:val="001825D9"/>
    <w:rsid w:val="001977BD"/>
    <w:rsid w:val="001A6BFD"/>
    <w:rsid w:val="001E6279"/>
    <w:rsid w:val="00266DA7"/>
    <w:rsid w:val="002A7101"/>
    <w:rsid w:val="002B1B10"/>
    <w:rsid w:val="0030424C"/>
    <w:rsid w:val="003060F9"/>
    <w:rsid w:val="00397BF7"/>
    <w:rsid w:val="003E1155"/>
    <w:rsid w:val="003E3621"/>
    <w:rsid w:val="0046489C"/>
    <w:rsid w:val="004A0520"/>
    <w:rsid w:val="004A75E0"/>
    <w:rsid w:val="004E2A5A"/>
    <w:rsid w:val="0051599B"/>
    <w:rsid w:val="00547494"/>
    <w:rsid w:val="005D5A99"/>
    <w:rsid w:val="006A4266"/>
    <w:rsid w:val="006C106A"/>
    <w:rsid w:val="006F5CC5"/>
    <w:rsid w:val="006F6DCE"/>
    <w:rsid w:val="0075752B"/>
    <w:rsid w:val="00887A73"/>
    <w:rsid w:val="00890DB0"/>
    <w:rsid w:val="00897BEE"/>
    <w:rsid w:val="008A5408"/>
    <w:rsid w:val="008C0112"/>
    <w:rsid w:val="008D0AD1"/>
    <w:rsid w:val="009A3907"/>
    <w:rsid w:val="009A3E9F"/>
    <w:rsid w:val="009F3237"/>
    <w:rsid w:val="00A82753"/>
    <w:rsid w:val="00AC7BB9"/>
    <w:rsid w:val="00AF47ED"/>
    <w:rsid w:val="00B457A0"/>
    <w:rsid w:val="00BA25BD"/>
    <w:rsid w:val="00BF4FED"/>
    <w:rsid w:val="00C57E8A"/>
    <w:rsid w:val="00C72DD1"/>
    <w:rsid w:val="00C93854"/>
    <w:rsid w:val="00CB6A29"/>
    <w:rsid w:val="00CC30C6"/>
    <w:rsid w:val="00CF0B38"/>
    <w:rsid w:val="00CF209B"/>
    <w:rsid w:val="00D46789"/>
    <w:rsid w:val="00D775DF"/>
    <w:rsid w:val="00DA0E45"/>
    <w:rsid w:val="00E07E6B"/>
    <w:rsid w:val="00E2784E"/>
    <w:rsid w:val="00E53F52"/>
    <w:rsid w:val="00ED06FC"/>
    <w:rsid w:val="00F17DB8"/>
    <w:rsid w:val="00F41DDD"/>
    <w:rsid w:val="00F5746B"/>
    <w:rsid w:val="00F7503D"/>
    <w:rsid w:val="00F91392"/>
    <w:rsid w:val="00F952A6"/>
    <w:rsid w:val="00FA57AF"/>
    <w:rsid w:val="00FF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  <w:style w:type="paragraph" w:customStyle="1" w:styleId="Default">
    <w:name w:val="Default"/>
    <w:rsid w:val="00D775DF"/>
    <w:pPr>
      <w:autoSpaceDE w:val="0"/>
      <w:autoSpaceDN w:val="0"/>
      <w:adjustRightInd w:val="0"/>
    </w:pPr>
    <w:rPr>
      <w:rFonts w:ascii="Code" w:hAnsi="Code" w:cs="Code"/>
      <w:color w:val="00000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Perugia - Dip. Economia, Finanza e Statistica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Castellani</dc:creator>
  <cp:lastModifiedBy>Daniele Vignoli</cp:lastModifiedBy>
  <cp:revision>4</cp:revision>
  <dcterms:created xsi:type="dcterms:W3CDTF">2014-02-07T17:40:00Z</dcterms:created>
  <dcterms:modified xsi:type="dcterms:W3CDTF">2014-02-07T17:59:00Z</dcterms:modified>
</cp:coreProperties>
</file>